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0E" w:rsidRDefault="00496B0E" w:rsidP="00496B0E">
      <w:pPr>
        <w:pStyle w:val="a3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23"/>
          <w:szCs w:val="23"/>
        </w:rPr>
      </w:pPr>
      <w:bookmarkStart w:id="0" w:name="_GoBack"/>
      <w:r>
        <w:rPr>
          <w:color w:val="000000"/>
          <w:sz w:val="28"/>
          <w:szCs w:val="28"/>
        </w:rPr>
        <w:t>ИНФОРМАЦИОННАЯ ЗАМЕТКА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16 октября 2017 г. в прокуратуре Куртамышского района Курганской области с 10-00 до 13-00 час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 телефону 8(35249) 2-11-77 состоится «горячая» телефонная линия по вопросам соблюдения законодательства в сфере жилищно-коммунального хозяйства.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Заместитель прокурора Куртамышского района Мельникова Галина Михайловна ответит на интересующие жителей района вопросы, при наличии оснований будут приняты меры прокурорского реагирования.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Заместитель прокурора района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советник юстиции Г.М. Мельникова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СОГЛАСОВАНО: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Прокурор района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младший советник юстиции Е.А. </w:t>
      </w:r>
      <w:proofErr w:type="spellStart"/>
      <w:r>
        <w:rPr>
          <w:color w:val="000000"/>
          <w:sz w:val="28"/>
          <w:szCs w:val="28"/>
        </w:rPr>
        <w:t>Палаткин</w:t>
      </w:r>
      <w:proofErr w:type="spellEnd"/>
    </w:p>
    <w:p w:rsidR="00F122D1" w:rsidRDefault="00F122D1"/>
    <w:p w:rsidR="00496B0E" w:rsidRDefault="00496B0E"/>
    <w:p w:rsidR="00496B0E" w:rsidRDefault="00496B0E"/>
    <w:p w:rsidR="00496B0E" w:rsidRDefault="00496B0E"/>
    <w:p w:rsidR="00496B0E" w:rsidRDefault="00496B0E"/>
    <w:p w:rsidR="00496B0E" w:rsidRDefault="00496B0E"/>
    <w:p w:rsidR="00496B0E" w:rsidRDefault="00496B0E"/>
    <w:p w:rsidR="00496B0E" w:rsidRDefault="00496B0E"/>
    <w:p w:rsidR="00496B0E" w:rsidRDefault="00496B0E" w:rsidP="00496B0E">
      <w:pPr>
        <w:pStyle w:val="a3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ИНФОРМАЦИОННАЯ ЗАМЕТКА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Гарантии при расторжении трудового договора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Трудовым кодексом Российской Федерации (далее - ТК РФ) предусмотрено предоставление работникам гарантий и компенсаций, связанных с расторжением трудового договора.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В ст.178 ТК РФ приведен полный перечень оснований для выплаты работникам выходных пособий в различных размерах и в определенных случаях прекращения трудового договора. </w:t>
      </w:r>
      <w:proofErr w:type="gramStart"/>
      <w:r>
        <w:rPr>
          <w:color w:val="000000"/>
          <w:sz w:val="28"/>
          <w:szCs w:val="28"/>
        </w:rPr>
        <w:t>В силу названной нормы выходные пособия выплачиваются работникам при расторжении трудового договора в связи с ликвидацией организации либо сокращением численности штата работников организации, в связи с отказом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отсутствием у работодателя соответствующей работы, призывом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работника на военную службу или направлением его на заменяющую ее альтернативную гражданскую службу, восстановлением на работе работника, ранее выполнявшего эту работу, отказом работника от перевода на работу в другую местность вместе с работодателем, признанием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отказом работника</w:t>
      </w:r>
      <w:proofErr w:type="gramEnd"/>
      <w:r>
        <w:rPr>
          <w:color w:val="000000"/>
          <w:sz w:val="28"/>
          <w:szCs w:val="28"/>
        </w:rPr>
        <w:t xml:space="preserve"> от продолжения работы в связи с изменением определенных сторонами условий трудового договора.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этом следует учесть, что ч. 4 ст.178 ТК РФ содержит положения о том, что трудовым договором или коллективным договором могут предусматриваться другие случаи выплаты выходных пособий, а также устанавливаться повышенные размеры выходных пособий, за исключением случаев, предусмотренных ТК РФ.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Помощник прокурора района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юрист 2 класса Д.В. Филатов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СОГЛАСОВОНО: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Прокурор района</w:t>
      </w: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496B0E" w:rsidRDefault="00496B0E" w:rsidP="00496B0E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младший советник юстиции Е.А. </w:t>
      </w:r>
      <w:proofErr w:type="spellStart"/>
      <w:r>
        <w:rPr>
          <w:color w:val="000000"/>
          <w:sz w:val="28"/>
          <w:szCs w:val="28"/>
        </w:rPr>
        <w:t>Палаткин</w:t>
      </w:r>
      <w:proofErr w:type="spellEnd"/>
    </w:p>
    <w:bookmarkEnd w:id="0"/>
    <w:p w:rsidR="00496B0E" w:rsidRDefault="00496B0E"/>
    <w:sectPr w:rsidR="004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B3"/>
    <w:rsid w:val="00496B0E"/>
    <w:rsid w:val="00534CB3"/>
    <w:rsid w:val="00F1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2017-10-05T05:10:00Z</dcterms:created>
  <dcterms:modified xsi:type="dcterms:W3CDTF">2017-10-05T05:11:00Z</dcterms:modified>
</cp:coreProperties>
</file>